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8EED33" w14:textId="77777777" w:rsidR="00856AAC" w:rsidRDefault="00244E2D">
      <w:pPr>
        <w:pStyle w:val="Title"/>
        <w:jc w:val="left"/>
        <w:rPr>
          <w:rFonts w:ascii="Calibri" w:hAnsi="Calibri"/>
          <w:sz w:val="44"/>
        </w:rPr>
      </w:pPr>
      <w:r>
        <w:rPr>
          <w:rFonts w:ascii="Calibri" w:hAnsi="Calibri"/>
          <w:sz w:val="44"/>
        </w:rPr>
        <w:t>Barry Dahl</w:t>
      </w:r>
      <w:r w:rsidR="00B35EB6">
        <w:rPr>
          <w:rFonts w:ascii="Calibri" w:hAnsi="Calibri"/>
          <w:sz w:val="44"/>
        </w:rPr>
        <w:t xml:space="preserve"> - </w:t>
      </w:r>
      <w:r w:rsidR="003A3C5E">
        <w:rPr>
          <w:rFonts w:ascii="Calibri" w:hAnsi="Calibri"/>
          <w:sz w:val="44"/>
        </w:rPr>
        <w:t>Online Faculty Evaluation Rubric</w:t>
      </w:r>
    </w:p>
    <w:tbl>
      <w:tblPr>
        <w:tblW w:w="10785" w:type="dxa"/>
        <w:tblInd w:w="3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5"/>
        <w:gridCol w:w="8580"/>
      </w:tblGrid>
      <w:tr w:rsidR="00856AAC" w14:paraId="67F47587" w14:textId="77777777">
        <w:trPr>
          <w:trHeight w:val="401"/>
        </w:trPr>
        <w:tc>
          <w:tcPr>
            <w:tcW w:w="2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EA3CE" w14:textId="77777777" w:rsidR="00856AAC" w:rsidRDefault="003A3C5E">
            <w:pPr>
              <w:pStyle w:val="Standard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Faculty name</w:t>
            </w:r>
          </w:p>
        </w:tc>
        <w:tc>
          <w:tcPr>
            <w:tcW w:w="8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EED5A" w14:textId="77777777" w:rsidR="00856AAC" w:rsidRDefault="00856AAC">
            <w:pPr>
              <w:pStyle w:val="Standard"/>
              <w:rPr>
                <w:rFonts w:ascii="Calibri" w:hAnsi="Calibri"/>
              </w:rPr>
            </w:pPr>
          </w:p>
        </w:tc>
      </w:tr>
      <w:tr w:rsidR="00856AAC" w14:paraId="36DA8180" w14:textId="77777777">
        <w:trPr>
          <w:trHeight w:val="401"/>
        </w:trPr>
        <w:tc>
          <w:tcPr>
            <w:tcW w:w="2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DA219" w14:textId="77777777" w:rsidR="00856AAC" w:rsidRDefault="003A3C5E">
            <w:pPr>
              <w:pStyle w:val="Standard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Evaluator name</w:t>
            </w:r>
          </w:p>
        </w:tc>
        <w:tc>
          <w:tcPr>
            <w:tcW w:w="8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05BB1" w14:textId="77777777" w:rsidR="00856AAC" w:rsidRDefault="00856AAC">
            <w:pPr>
              <w:pStyle w:val="Standard"/>
              <w:rPr>
                <w:rFonts w:ascii="Calibri" w:hAnsi="Calibri"/>
              </w:rPr>
            </w:pPr>
          </w:p>
        </w:tc>
      </w:tr>
      <w:tr w:rsidR="00856AAC" w14:paraId="01FA4923" w14:textId="77777777">
        <w:trPr>
          <w:trHeight w:val="401"/>
        </w:trPr>
        <w:tc>
          <w:tcPr>
            <w:tcW w:w="2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6CA10" w14:textId="77777777" w:rsidR="00856AAC" w:rsidRDefault="003A3C5E">
            <w:pPr>
              <w:pStyle w:val="Standard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Course evaluated</w:t>
            </w:r>
          </w:p>
        </w:tc>
        <w:tc>
          <w:tcPr>
            <w:tcW w:w="8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2BB5A" w14:textId="77777777" w:rsidR="00856AAC" w:rsidRDefault="00856AAC">
            <w:pPr>
              <w:pStyle w:val="Standard"/>
              <w:rPr>
                <w:rFonts w:ascii="Calibri" w:hAnsi="Calibri"/>
              </w:rPr>
            </w:pPr>
          </w:p>
        </w:tc>
      </w:tr>
      <w:tr w:rsidR="00856AAC" w14:paraId="409DC003" w14:textId="77777777">
        <w:trPr>
          <w:trHeight w:val="401"/>
        </w:trPr>
        <w:tc>
          <w:tcPr>
            <w:tcW w:w="2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4643B" w14:textId="77777777" w:rsidR="00856AAC" w:rsidRDefault="003A3C5E">
            <w:pPr>
              <w:pStyle w:val="Standard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Term/Semester</w:t>
            </w:r>
          </w:p>
        </w:tc>
        <w:tc>
          <w:tcPr>
            <w:tcW w:w="8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62531" w14:textId="77777777" w:rsidR="00856AAC" w:rsidRDefault="00856AAC">
            <w:pPr>
              <w:pStyle w:val="Standard"/>
              <w:rPr>
                <w:rFonts w:ascii="Calibri" w:hAnsi="Calibri"/>
              </w:rPr>
            </w:pPr>
          </w:p>
        </w:tc>
      </w:tr>
      <w:tr w:rsidR="00856AAC" w14:paraId="0A58585E" w14:textId="77777777">
        <w:trPr>
          <w:trHeight w:val="401"/>
        </w:trPr>
        <w:tc>
          <w:tcPr>
            <w:tcW w:w="2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C0C8D" w14:textId="77777777" w:rsidR="00856AAC" w:rsidRDefault="003A3C5E">
            <w:pPr>
              <w:pStyle w:val="Standard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Start/End dates</w:t>
            </w:r>
          </w:p>
        </w:tc>
        <w:tc>
          <w:tcPr>
            <w:tcW w:w="8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A78C7" w14:textId="77777777" w:rsidR="00856AAC" w:rsidRDefault="00856AAC">
            <w:pPr>
              <w:pStyle w:val="Standard"/>
              <w:rPr>
                <w:rFonts w:ascii="Calibri" w:hAnsi="Calibri"/>
              </w:rPr>
            </w:pPr>
          </w:p>
        </w:tc>
      </w:tr>
    </w:tbl>
    <w:p w14:paraId="7A42BB1A" w14:textId="77777777" w:rsidR="00856AAC" w:rsidRDefault="003A3C5E">
      <w:pPr>
        <w:pStyle w:val="Heading1"/>
        <w:rPr>
          <w:rFonts w:ascii="Calibri" w:hAnsi="Calibri"/>
        </w:rPr>
      </w:pPr>
      <w:r>
        <w:rPr>
          <w:rFonts w:ascii="Calibri" w:hAnsi="Calibri"/>
        </w:rPr>
        <w:t>Professional Development:</w:t>
      </w:r>
    </w:p>
    <w:p w14:paraId="6D10D40C" w14:textId="77777777" w:rsidR="00856AAC" w:rsidRDefault="003A3C5E">
      <w:pPr>
        <w:pStyle w:val="Standard"/>
        <w:rPr>
          <w:rFonts w:ascii="Calibri" w:hAnsi="Calibri"/>
        </w:rPr>
      </w:pPr>
      <w:r>
        <w:rPr>
          <w:rFonts w:ascii="Calibri" w:hAnsi="Calibri"/>
        </w:rPr>
        <w:t>Is there documentation on file indicating the following?</w:t>
      </w:r>
    </w:p>
    <w:tbl>
      <w:tblPr>
        <w:tblW w:w="10782" w:type="dxa"/>
        <w:tblInd w:w="3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5"/>
        <w:gridCol w:w="750"/>
        <w:gridCol w:w="9267"/>
      </w:tblGrid>
      <w:tr w:rsidR="00856AAC" w14:paraId="24ECB35D" w14:textId="77777777">
        <w:tc>
          <w:tcPr>
            <w:tcW w:w="7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3B716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Yes</w:t>
            </w:r>
          </w:p>
        </w:tc>
        <w:tc>
          <w:tcPr>
            <w:tcW w:w="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3A207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No</w:t>
            </w:r>
          </w:p>
        </w:tc>
        <w:tc>
          <w:tcPr>
            <w:tcW w:w="92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BDAFA" w14:textId="77777777" w:rsidR="00856AAC" w:rsidRDefault="003A3C5E">
            <w:pPr>
              <w:pStyle w:val="Standard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Faculty participation in the following:</w:t>
            </w:r>
          </w:p>
        </w:tc>
      </w:tr>
      <w:tr w:rsidR="00856AAC" w14:paraId="474C1FB8" w14:textId="77777777">
        <w:trPr>
          <w:trHeight w:val="371"/>
        </w:trPr>
        <w:tc>
          <w:tcPr>
            <w:tcW w:w="7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9CB15" w14:textId="77777777" w:rsidR="00856AAC" w:rsidRDefault="00856AAC">
            <w:pPr>
              <w:pStyle w:val="Standard"/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0A55E" w14:textId="77777777" w:rsidR="00856AAC" w:rsidRDefault="00856AAC">
            <w:pPr>
              <w:pStyle w:val="Standard"/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92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4DE97" w14:textId="77777777" w:rsidR="00856AAC" w:rsidRDefault="003A3C5E">
            <w:pPr>
              <w:pStyle w:val="Standard"/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Training sessions for faculty who are new to online teaching</w:t>
            </w:r>
          </w:p>
        </w:tc>
      </w:tr>
      <w:tr w:rsidR="00856AAC" w14:paraId="3FB7AE39" w14:textId="77777777">
        <w:trPr>
          <w:trHeight w:val="371"/>
        </w:trPr>
        <w:tc>
          <w:tcPr>
            <w:tcW w:w="7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9C004" w14:textId="77777777" w:rsidR="00856AAC" w:rsidRDefault="00856AAC">
            <w:pPr>
              <w:pStyle w:val="Standard"/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8420E" w14:textId="77777777" w:rsidR="00856AAC" w:rsidRDefault="00856AAC">
            <w:pPr>
              <w:pStyle w:val="Standard"/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92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ADC71" w14:textId="77777777" w:rsidR="00856AAC" w:rsidRDefault="003A3C5E">
            <w:pPr>
              <w:pStyle w:val="Standard"/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Online faculty peer review process</w:t>
            </w:r>
          </w:p>
        </w:tc>
      </w:tr>
      <w:tr w:rsidR="00856AAC" w14:paraId="2FABD900" w14:textId="77777777">
        <w:trPr>
          <w:trHeight w:val="371"/>
        </w:trPr>
        <w:tc>
          <w:tcPr>
            <w:tcW w:w="7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38C04" w14:textId="77777777" w:rsidR="00856AAC" w:rsidRDefault="00856AAC">
            <w:pPr>
              <w:pStyle w:val="Standard"/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F17A0" w14:textId="77777777" w:rsidR="00856AAC" w:rsidRDefault="00856AAC">
            <w:pPr>
              <w:pStyle w:val="Standard"/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92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A0202" w14:textId="77777777" w:rsidR="00856AAC" w:rsidRDefault="003A3C5E">
            <w:pPr>
              <w:pStyle w:val="Standard"/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Web accessibility training</w:t>
            </w:r>
          </w:p>
        </w:tc>
      </w:tr>
      <w:tr w:rsidR="00856AAC" w14:paraId="082C03D0" w14:textId="77777777">
        <w:trPr>
          <w:trHeight w:val="371"/>
        </w:trPr>
        <w:tc>
          <w:tcPr>
            <w:tcW w:w="7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09968" w14:textId="77777777" w:rsidR="00856AAC" w:rsidRDefault="00856AAC">
            <w:pPr>
              <w:pStyle w:val="Standard"/>
              <w:rPr>
                <w:rFonts w:ascii="Calibri" w:hAnsi="Calibri"/>
              </w:rPr>
            </w:pPr>
          </w:p>
        </w:tc>
        <w:tc>
          <w:tcPr>
            <w:tcW w:w="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A24C5" w14:textId="77777777" w:rsidR="00856AAC" w:rsidRDefault="00856AAC">
            <w:pPr>
              <w:pStyle w:val="Standard"/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92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141F4" w14:textId="77777777" w:rsidR="00856AAC" w:rsidRDefault="003A3C5E">
            <w:pPr>
              <w:pStyle w:val="Standard"/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Online faculty workshops, webinars, conferences</w:t>
            </w:r>
          </w:p>
        </w:tc>
      </w:tr>
      <w:tr w:rsidR="00856AAC" w14:paraId="31A71F11" w14:textId="77777777">
        <w:tc>
          <w:tcPr>
            <w:tcW w:w="1078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AF1B2" w14:textId="77777777" w:rsidR="00856AAC" w:rsidRDefault="003A3C5E">
            <w:pPr>
              <w:pStyle w:val="Quote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Additional comments:</w:t>
            </w:r>
          </w:p>
          <w:p w14:paraId="2236F6CF" w14:textId="77777777" w:rsidR="00856AAC" w:rsidRDefault="00856AAC">
            <w:pPr>
              <w:pStyle w:val="Standard"/>
              <w:rPr>
                <w:rFonts w:ascii="Calibri" w:hAnsi="Calibri"/>
              </w:rPr>
            </w:pPr>
          </w:p>
        </w:tc>
      </w:tr>
    </w:tbl>
    <w:p w14:paraId="735FAE08" w14:textId="77777777" w:rsidR="00856AAC" w:rsidRDefault="003A3C5E">
      <w:pPr>
        <w:pStyle w:val="Heading1"/>
        <w:rPr>
          <w:rFonts w:ascii="Calibri" w:hAnsi="Calibri"/>
        </w:rPr>
      </w:pPr>
      <w:r>
        <w:rPr>
          <w:rFonts w:ascii="Calibri" w:hAnsi="Calibri"/>
        </w:rPr>
        <w:t>Evaluation Grading Scale:</w:t>
      </w:r>
    </w:p>
    <w:p w14:paraId="38A46776" w14:textId="77777777" w:rsidR="00856AAC" w:rsidRDefault="003A3C5E">
      <w:pPr>
        <w:pStyle w:val="Standard"/>
        <w:rPr>
          <w:rFonts w:ascii="Calibri" w:hAnsi="Calibri"/>
        </w:rPr>
      </w:pPr>
      <w:r>
        <w:rPr>
          <w:rFonts w:ascii="Calibri" w:hAnsi="Calibri"/>
        </w:rPr>
        <w:t>A = Exceeds expectations</w:t>
      </w:r>
      <w:r>
        <w:rPr>
          <w:rFonts w:ascii="Calibri" w:hAnsi="Calibri"/>
        </w:rPr>
        <w:br/>
        <w:t>B = Meets expectations</w:t>
      </w:r>
      <w:r>
        <w:rPr>
          <w:rFonts w:ascii="Calibri" w:hAnsi="Calibri"/>
        </w:rPr>
        <w:br/>
        <w:t>C = Will meet expectations with minor changes</w:t>
      </w:r>
      <w:r>
        <w:rPr>
          <w:rFonts w:ascii="Calibri" w:hAnsi="Calibri"/>
        </w:rPr>
        <w:br/>
        <w:t>D = Falls short of expectations</w:t>
      </w:r>
    </w:p>
    <w:p w14:paraId="1621EBC4" w14:textId="77777777" w:rsidR="00856AAC" w:rsidRDefault="003A3C5E">
      <w:pPr>
        <w:pStyle w:val="Heading1"/>
        <w:rPr>
          <w:rFonts w:ascii="Calibri" w:hAnsi="Calibri"/>
        </w:rPr>
      </w:pPr>
      <w:r>
        <w:rPr>
          <w:rFonts w:ascii="Calibri" w:hAnsi="Calibri"/>
        </w:rPr>
        <w:lastRenderedPageBreak/>
        <w:t>Category 1: Basic Expectations for Online Courses</w:t>
      </w:r>
    </w:p>
    <w:tbl>
      <w:tblPr>
        <w:tblW w:w="13167" w:type="dxa"/>
        <w:tblInd w:w="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"/>
        <w:gridCol w:w="4395"/>
        <w:gridCol w:w="5430"/>
        <w:gridCol w:w="2442"/>
      </w:tblGrid>
      <w:tr w:rsidR="00856AAC" w14:paraId="69778B3A" w14:textId="77777777">
        <w:trPr>
          <w:trHeight w:val="525"/>
        </w:trPr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E8623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Grade</w:t>
            </w: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CAE93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Expectation</w:t>
            </w:r>
          </w:p>
        </w:tc>
        <w:tc>
          <w:tcPr>
            <w:tcW w:w="5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230A4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Examples of Meeting Expectation</w:t>
            </w:r>
          </w:p>
        </w:tc>
        <w:tc>
          <w:tcPr>
            <w:tcW w:w="2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0EB80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Evaluator Comments</w:t>
            </w:r>
          </w:p>
        </w:tc>
      </w:tr>
      <w:tr w:rsidR="00856AAC" w14:paraId="32B4B6AD" w14:textId="77777777"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52855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90CCF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1A: Course syllabus information matches approved college curriculum.</w:t>
            </w:r>
          </w:p>
        </w:tc>
        <w:tc>
          <w:tcPr>
            <w:tcW w:w="5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D496D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1A: Syllabus will include, but not be limited to, these items:</w:t>
            </w:r>
          </w:p>
          <w:p w14:paraId="6AB6A78C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Learning outcomes listed in course match official outcomes.</w:t>
            </w:r>
          </w:p>
          <w:p w14:paraId="7C46949A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Course description matches official description.</w:t>
            </w:r>
          </w:p>
          <w:p w14:paraId="3ABFC39E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3) Disabilities statement and </w:t>
            </w:r>
            <w:proofErr w:type="gramStart"/>
            <w:r>
              <w:rPr>
                <w:rFonts w:ascii="Calibri" w:hAnsi="Calibri"/>
                <w:sz w:val="22"/>
                <w:szCs w:val="22"/>
              </w:rPr>
              <w:t>other</w:t>
            </w:r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standard curriculum language are included.</w:t>
            </w:r>
          </w:p>
          <w:p w14:paraId="69C05EFC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8DA8B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634FA0D8" w14:textId="77777777"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0DCD1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4333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1B: All required and optional classroom resources are clearly identified with information about access.</w:t>
            </w:r>
          </w:p>
        </w:tc>
        <w:tc>
          <w:tcPr>
            <w:tcW w:w="5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C9C8A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1B: Syllabus or introductory information should include:</w:t>
            </w:r>
          </w:p>
          <w:p w14:paraId="2CAE4DC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textbook information, including ISBN</w:t>
            </w:r>
          </w:p>
          <w:p w14:paraId="35E97CA4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lab kits, or similar resources</w:t>
            </w:r>
          </w:p>
          <w:p w14:paraId="595F7AC4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equipment needed by students</w:t>
            </w:r>
          </w:p>
          <w:p w14:paraId="3EF58D37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4) software or other resources</w:t>
            </w:r>
          </w:p>
          <w:p w14:paraId="6D3752EA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4D656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0042B31F" w14:textId="77777777"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A6533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90A2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1C: Course time line is clearly identified and easy to find; with due dates, and appropriate windows of opportunity.</w:t>
            </w:r>
          </w:p>
        </w:tc>
        <w:tc>
          <w:tcPr>
            <w:tcW w:w="5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B65B19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1C: Students often choose online learning because they seek time flexibility in their schedule management.</w:t>
            </w:r>
          </w:p>
          <w:p w14:paraId="23D19B7C" w14:textId="338D1F19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1) The "window of opportunity" refers to the number of days that a student may complete an assignment/quiz/etc. A quiz period that starts on Monday and closes on Thursday is a </w:t>
            </w:r>
            <w:r w:rsidR="008933CC">
              <w:rPr>
                <w:rFonts w:ascii="Calibri" w:hAnsi="Calibri"/>
                <w:sz w:val="22"/>
                <w:szCs w:val="22"/>
              </w:rPr>
              <w:t>four-day</w:t>
            </w:r>
            <w:r>
              <w:rPr>
                <w:rFonts w:ascii="Calibri" w:hAnsi="Calibri"/>
                <w:sz w:val="22"/>
                <w:szCs w:val="22"/>
              </w:rPr>
              <w:t xml:space="preserve"> window of opportunity.</w:t>
            </w:r>
          </w:p>
          <w:p w14:paraId="3B46AFE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proofErr w:type="gramStart"/>
            <w:r>
              <w:rPr>
                <w:rFonts w:ascii="Calibri" w:hAnsi="Calibri"/>
                <w:sz w:val="22"/>
                <w:szCs w:val="22"/>
              </w:rPr>
              <w:t>2) Generally speaking, windows</w:t>
            </w:r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of opportunity from 3-7 days are reasonable.</w:t>
            </w:r>
          </w:p>
          <w:p w14:paraId="21D5F753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Periodic due dates (for example, weekly), are important as many online students have been found to not keep up with coursework when time line is left wide open.</w:t>
            </w:r>
            <w:r>
              <w:rPr>
                <w:rFonts w:ascii="Calibri" w:hAnsi="Calibri"/>
                <w:sz w:val="22"/>
                <w:szCs w:val="22"/>
              </w:rPr>
              <w:br/>
            </w:r>
          </w:p>
        </w:tc>
        <w:tc>
          <w:tcPr>
            <w:tcW w:w="2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DE18D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19DE5806" w14:textId="77777777" w:rsidR="00AE16A5" w:rsidRDefault="00AE16A5">
      <w:r>
        <w:br w:type="page"/>
      </w:r>
    </w:p>
    <w:tbl>
      <w:tblPr>
        <w:tblW w:w="13167" w:type="dxa"/>
        <w:tblInd w:w="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"/>
        <w:gridCol w:w="4395"/>
        <w:gridCol w:w="5430"/>
        <w:gridCol w:w="2442"/>
      </w:tblGrid>
      <w:tr w:rsidR="00856AAC" w14:paraId="166ACBAB" w14:textId="77777777"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394A8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AB4E7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1D: Expectations for faculty response times are clearly articulated for all major course components.  </w:t>
            </w:r>
          </w:p>
        </w:tc>
        <w:tc>
          <w:tcPr>
            <w:tcW w:w="5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AAC9D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1D: Response time, grading turnaround time, or feedback frequencies are clearly articulated to students for the following, if used in course:</w:t>
            </w:r>
          </w:p>
          <w:p w14:paraId="340CC388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email responses</w:t>
            </w:r>
          </w:p>
          <w:p w14:paraId="68B602CA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quiz grading/feedback (continued next page)</w:t>
            </w:r>
          </w:p>
          <w:p w14:paraId="2995EF41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assignment grading/feedback</w:t>
            </w:r>
          </w:p>
          <w:p w14:paraId="78084B5B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4) discussion forum postings</w:t>
            </w:r>
          </w:p>
          <w:p w14:paraId="713FCB7B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5) other communication forms</w:t>
            </w:r>
            <w:r>
              <w:rPr>
                <w:rFonts w:ascii="Calibri" w:hAnsi="Calibri"/>
                <w:sz w:val="22"/>
                <w:szCs w:val="22"/>
              </w:rPr>
              <w:br/>
            </w:r>
          </w:p>
        </w:tc>
        <w:tc>
          <w:tcPr>
            <w:tcW w:w="2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E1D67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0A30C921" w14:textId="77777777"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40B08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7F652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1E: Instructor-prepared course materials are accurate, professional, and consistent.</w:t>
            </w:r>
          </w:p>
        </w:tc>
        <w:tc>
          <w:tcPr>
            <w:tcW w:w="5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1550B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1E: Expectations include:</w:t>
            </w:r>
          </w:p>
          <w:p w14:paraId="3A187C1C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Good grammar</w:t>
            </w:r>
          </w:p>
          <w:p w14:paraId="585E146A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No obvious errors, including typos</w:t>
            </w:r>
          </w:p>
          <w:p w14:paraId="2C4202F9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Language level is appropriate for the audience</w:t>
            </w:r>
          </w:p>
          <w:p w14:paraId="7B78C379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4) Consistent look and feel on content pages and syllabus</w:t>
            </w:r>
          </w:p>
          <w:p w14:paraId="62F001ED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5) “Instructor voice,” in text or multimedia, is appropriate.</w:t>
            </w:r>
          </w:p>
          <w:p w14:paraId="2C86BC70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7D846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123BE847" w14:textId="77777777"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0A659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A5005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1F: Instructor provides and maintains a welcoming, safe, and positive learning environment.</w:t>
            </w:r>
          </w:p>
        </w:tc>
        <w:tc>
          <w:tcPr>
            <w:tcW w:w="5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C7F53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1F: Examples include:</w:t>
            </w:r>
          </w:p>
          <w:p w14:paraId="792D4CC5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Clearly state the types of behavior that will not be tolerated in the online class.</w:t>
            </w:r>
          </w:p>
          <w:p w14:paraId="59E7158E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Post and enforce rules for netiquette.</w:t>
            </w:r>
          </w:p>
          <w:p w14:paraId="1132C952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Maintain a safe learning environment by:</w:t>
            </w:r>
          </w:p>
          <w:p w14:paraId="6462155F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 a) focusing on academic achievement,</w:t>
            </w:r>
          </w:p>
          <w:p w14:paraId="21DABB66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 b) maintaining high standards,</w:t>
            </w:r>
          </w:p>
          <w:p w14:paraId="5F540262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 c) fostering positive relationships between students and faculty,</w:t>
            </w:r>
          </w:p>
          <w:p w14:paraId="34EC4AA2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 d) reducing negativity, and</w:t>
            </w:r>
          </w:p>
          <w:p w14:paraId="67F80B4E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 e) resolving conflict</w:t>
            </w:r>
            <w:r>
              <w:rPr>
                <w:rFonts w:ascii="Calibri" w:hAnsi="Calibri"/>
                <w:sz w:val="22"/>
                <w:szCs w:val="22"/>
              </w:rPr>
              <w:br/>
            </w:r>
          </w:p>
        </w:tc>
        <w:tc>
          <w:tcPr>
            <w:tcW w:w="2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6A31A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0B2E7D1D" w14:textId="77777777">
        <w:trPr>
          <w:trHeight w:val="732"/>
        </w:trPr>
        <w:tc>
          <w:tcPr>
            <w:tcW w:w="1316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A9861" w14:textId="77777777" w:rsidR="00856AAC" w:rsidRDefault="003A3C5E">
            <w:pPr>
              <w:pStyle w:val="Quote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Additional comments on Category 1:</w:t>
            </w:r>
          </w:p>
          <w:p w14:paraId="0BC477A4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11826D4C" w14:textId="77777777" w:rsidR="00856AAC" w:rsidRDefault="00856AAC">
      <w:pPr>
        <w:pStyle w:val="Heading1"/>
        <w:rPr>
          <w:rFonts w:ascii="Calibri" w:hAnsi="Calibri"/>
        </w:rPr>
      </w:pPr>
    </w:p>
    <w:p w14:paraId="53A7B315" w14:textId="77777777" w:rsidR="00856AAC" w:rsidRDefault="003A3C5E">
      <w:pPr>
        <w:pStyle w:val="Heading1"/>
        <w:pageBreakBefore/>
        <w:rPr>
          <w:rFonts w:ascii="Calibri" w:hAnsi="Calibri"/>
        </w:rPr>
      </w:pPr>
      <w:r>
        <w:rPr>
          <w:rFonts w:ascii="Calibri" w:hAnsi="Calibri"/>
        </w:rPr>
        <w:lastRenderedPageBreak/>
        <w:t>Category 2: Learning Experiences/Opportunities</w:t>
      </w:r>
    </w:p>
    <w:tbl>
      <w:tblPr>
        <w:tblW w:w="1318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15"/>
        <w:gridCol w:w="4380"/>
        <w:gridCol w:w="5460"/>
        <w:gridCol w:w="2430"/>
      </w:tblGrid>
      <w:tr w:rsidR="00856AAC" w14:paraId="09D895A2" w14:textId="77777777"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E087D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Grade</w:t>
            </w:r>
          </w:p>
        </w:tc>
        <w:tc>
          <w:tcPr>
            <w:tcW w:w="4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897C6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Expectation</w:t>
            </w:r>
          </w:p>
        </w:tc>
        <w:tc>
          <w:tcPr>
            <w:tcW w:w="5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136424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Examples of Meeting Expectation</w:t>
            </w:r>
          </w:p>
        </w:tc>
        <w:tc>
          <w:tcPr>
            <w:tcW w:w="2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5916C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Evaluator Comments</w:t>
            </w:r>
          </w:p>
        </w:tc>
      </w:tr>
      <w:tr w:rsidR="00856AAC" w14:paraId="0E6292B9" w14:textId="77777777"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12092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7B6E23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2A: Has designed learning opportunities that encourage higher order thinking skills such as analysis, evaluation, synthesis, problem solving, and critical thinking.</w:t>
            </w:r>
          </w:p>
        </w:tc>
        <w:tc>
          <w:tcPr>
            <w:tcW w:w="5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CFA2D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2A: Non-exclusive list of possibilities:</w:t>
            </w:r>
          </w:p>
          <w:p w14:paraId="3956526F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scenario-based problems</w:t>
            </w:r>
          </w:p>
          <w:p w14:paraId="3FA54E1B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Case studies and/or simulations/games</w:t>
            </w:r>
          </w:p>
          <w:p w14:paraId="43B23D39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Peer tutoring, 4 Journaling</w:t>
            </w:r>
          </w:p>
          <w:p w14:paraId="27E37E43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5) Exercises in diagramming or visualizations</w:t>
            </w:r>
          </w:p>
          <w:p w14:paraId="5D6F9FEA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6) Cooperative learning in groups</w:t>
            </w:r>
          </w:p>
          <w:p w14:paraId="1E56AA1A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875F7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5EDA2FC1" w14:textId="77777777">
        <w:tc>
          <w:tcPr>
            <w:tcW w:w="9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37EC6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8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35B47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2B: Instructor uses discussion forums effectively.</w:t>
            </w:r>
          </w:p>
        </w:tc>
        <w:tc>
          <w:tcPr>
            <w:tcW w:w="546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19B9F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2B: Student discussions should serve to:</w:t>
            </w:r>
          </w:p>
          <w:p w14:paraId="468BDABC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stimulate thinking, 2) challenge attitudes and beliefs</w:t>
            </w:r>
          </w:p>
          <w:p w14:paraId="7E532C12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develop interpersonal skills</w:t>
            </w:r>
          </w:p>
          <w:p w14:paraId="57CE9D35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4) investigate questions without simple answers</w:t>
            </w:r>
          </w:p>
          <w:p w14:paraId="2C71DF09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61B83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5F4CE2D8" w14:textId="77777777">
        <w:tc>
          <w:tcPr>
            <w:tcW w:w="9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6DDAC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8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2F22A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2C: Learning opportunities are sufficient for students to achieve </w:t>
            </w:r>
            <w:proofErr w:type="gramStart"/>
            <w:r>
              <w:rPr>
                <w:rFonts w:ascii="Calibri" w:hAnsi="Calibri"/>
                <w:sz w:val="22"/>
                <w:szCs w:val="22"/>
              </w:rPr>
              <w:t>all of</w:t>
            </w:r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the expected course outcomes.</w:t>
            </w:r>
          </w:p>
        </w:tc>
        <w:tc>
          <w:tcPr>
            <w:tcW w:w="546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117A4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2C: Significant learning opportunities/requirements:</w:t>
            </w:r>
          </w:p>
          <w:p w14:paraId="0194B504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are correlated to specific course learning outcomes.</w:t>
            </w:r>
          </w:p>
          <w:p w14:paraId="40F1040A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are not tangential to course learning outcomes.</w:t>
            </w:r>
          </w:p>
          <w:p w14:paraId="7934C634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4A4A2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2B6A1F96" w14:textId="77777777">
        <w:tc>
          <w:tcPr>
            <w:tcW w:w="9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76C63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8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5C55D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2D: Learning experiences are current, relevant, and presented in a logical sequence.</w:t>
            </w:r>
          </w:p>
        </w:tc>
        <w:tc>
          <w:tcPr>
            <w:tcW w:w="546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171DA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2D: Smaller “chunks” of content or modules tend to enhance student learning.  Content should be kept up-to-date (including links). When possible, course content in latter part of course should build on content from earlier parts. Possibilities for chunking include: by module, by week, by chapter, by topic</w:t>
            </w:r>
          </w:p>
          <w:p w14:paraId="479995B5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10E9A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7E051E5D" w14:textId="77777777">
        <w:tc>
          <w:tcPr>
            <w:tcW w:w="9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A77B7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8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F602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2E: Learning opportunities enable students to engage in a variety of activities that promote practice and a transfer of skills.</w:t>
            </w:r>
          </w:p>
        </w:tc>
        <w:tc>
          <w:tcPr>
            <w:tcW w:w="546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791C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2E: For example:</w:t>
            </w:r>
          </w:p>
          <w:p w14:paraId="0A1F62B2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Learners can sometimes choose among available options for activities that are relevant to them.</w:t>
            </w:r>
          </w:p>
          <w:p w14:paraId="711A086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Variety of learning opportunities may allow students to engage with course content in more than one modality.</w:t>
            </w:r>
          </w:p>
        </w:tc>
        <w:tc>
          <w:tcPr>
            <w:tcW w:w="24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0302E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0A7E604D" w14:textId="77777777">
        <w:trPr>
          <w:trHeight w:val="654"/>
        </w:trPr>
        <w:tc>
          <w:tcPr>
            <w:tcW w:w="13185" w:type="dxa"/>
            <w:gridSpan w:val="4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AC4D5" w14:textId="77777777" w:rsidR="00856AAC" w:rsidRDefault="003A3C5E">
            <w:pPr>
              <w:pStyle w:val="Quote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Additional comments on Category 2:</w:t>
            </w:r>
          </w:p>
          <w:p w14:paraId="0C0DDA5A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2D4126E4" w14:textId="77777777" w:rsidR="00856AAC" w:rsidRDefault="003A3C5E">
      <w:pPr>
        <w:pStyle w:val="Heading1"/>
        <w:rPr>
          <w:rFonts w:ascii="Calibri" w:hAnsi="Calibri"/>
        </w:rPr>
      </w:pPr>
      <w:r>
        <w:rPr>
          <w:rFonts w:ascii="Calibri" w:hAnsi="Calibri"/>
        </w:rPr>
        <w:lastRenderedPageBreak/>
        <w:t>Category 3: Activity and Interactivity</w:t>
      </w:r>
    </w:p>
    <w:tbl>
      <w:tblPr>
        <w:tblW w:w="13185" w:type="dxa"/>
        <w:tblInd w:w="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5"/>
        <w:gridCol w:w="4395"/>
        <w:gridCol w:w="5475"/>
        <w:gridCol w:w="2430"/>
      </w:tblGrid>
      <w:tr w:rsidR="00856AAC" w14:paraId="6DC95A6B" w14:textId="77777777">
        <w:trPr>
          <w:trHeight w:val="525"/>
        </w:trPr>
        <w:tc>
          <w:tcPr>
            <w:tcW w:w="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DC628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Grade</w:t>
            </w: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27B163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Expectation</w:t>
            </w:r>
          </w:p>
        </w:tc>
        <w:tc>
          <w:tcPr>
            <w:tcW w:w="54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D2065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Examples of Meeting Expectation</w:t>
            </w:r>
          </w:p>
        </w:tc>
        <w:tc>
          <w:tcPr>
            <w:tcW w:w="2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09F3B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Evaluator Comments</w:t>
            </w:r>
          </w:p>
        </w:tc>
      </w:tr>
      <w:tr w:rsidR="00856AAC" w14:paraId="27E0C7D7" w14:textId="77777777">
        <w:tc>
          <w:tcPr>
            <w:tcW w:w="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EBFB8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DD1A2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3A: Class introductions and start-up procedures are appropriate for instructor and students.</w:t>
            </w:r>
          </w:p>
        </w:tc>
        <w:tc>
          <w:tcPr>
            <w:tcW w:w="54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FFAE3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3A: Getting off to a good start is crucial in eLearning:</w:t>
            </w:r>
          </w:p>
          <w:p w14:paraId="0AD89170" w14:textId="77777777" w:rsidR="00856AAC" w:rsidRDefault="003A3C5E">
            <w:pPr>
              <w:pStyle w:val="Standard"/>
            </w:pPr>
            <w:r>
              <w:rPr>
                <w:rFonts w:ascii="Calibri" w:hAnsi="Calibri"/>
                <w:sz w:val="22"/>
                <w:szCs w:val="22"/>
              </w:rPr>
              <w:t>1) Start building a sense of community among faculty and students during the 1</w:t>
            </w:r>
            <w:r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>
              <w:rPr>
                <w:rFonts w:ascii="Calibri" w:hAnsi="Calibri"/>
                <w:sz w:val="22"/>
                <w:szCs w:val="22"/>
              </w:rPr>
              <w:t xml:space="preserve"> week.</w:t>
            </w:r>
          </w:p>
          <w:p w14:paraId="3150274B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Consider alternate strategies for course introductions (including audio/video) to build strong sense of instructor presence.</w:t>
            </w:r>
          </w:p>
          <w:p w14:paraId="6B002529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Create a quiz on key items from the syllabus and/or key services available to online students.</w:t>
            </w:r>
          </w:p>
          <w:p w14:paraId="7F9E8995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1045B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6250EFEF" w14:textId="77777777">
        <w:tc>
          <w:tcPr>
            <w:tcW w:w="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F4018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AE103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3B: Encourages students to be active participants in class.</w:t>
            </w:r>
          </w:p>
        </w:tc>
        <w:tc>
          <w:tcPr>
            <w:tcW w:w="54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71984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3B: Examples include:</w:t>
            </w:r>
          </w:p>
          <w:p w14:paraId="056AA63D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Require frequent contributions to the class by all students.</w:t>
            </w:r>
          </w:p>
          <w:p w14:paraId="677817FF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Prompt students to share their experiences and knowledge with other students.</w:t>
            </w:r>
          </w:p>
          <w:p w14:paraId="053D876E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Vigilantly track non-attendance or non-participation by lagging students. Contact students by email or send note to advisor for students not participating.</w:t>
            </w:r>
          </w:p>
          <w:p w14:paraId="248128C1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4) Add links to relevant and timely news articles and have students do the same.</w:t>
            </w:r>
          </w:p>
          <w:p w14:paraId="0A054AE2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6809E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5CA9C919" w14:textId="77777777">
        <w:tc>
          <w:tcPr>
            <w:tcW w:w="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1890D" w14:textId="77777777" w:rsidR="00856AAC" w:rsidRDefault="00856AAC">
            <w:pPr>
              <w:pStyle w:val="Standard"/>
              <w:rPr>
                <w:rFonts w:ascii="Calibri" w:hAnsi="Calibri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3A0C5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3C: Instructor communicates with students in a clear and effective manner.</w:t>
            </w:r>
          </w:p>
        </w:tc>
        <w:tc>
          <w:tcPr>
            <w:tcW w:w="54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B98BB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3C: Consider the following:</w:t>
            </w:r>
          </w:p>
          <w:p w14:paraId="2F1F1ED1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Be professional in your all communications.</w:t>
            </w:r>
          </w:p>
          <w:p w14:paraId="57EE0C72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Double check spelling and factual accuracy of news postings, discussion postings, emails, assignments, quizzes, etc.</w:t>
            </w:r>
          </w:p>
          <w:p w14:paraId="6260470E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Provide written feedback on quizzes/assignments beyond a simple “good job” or “needs work.”</w:t>
            </w:r>
          </w:p>
          <w:p w14:paraId="2292D588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4) Avoid jargon as much as possible.</w:t>
            </w:r>
          </w:p>
          <w:p w14:paraId="76167607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AF084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894B96B" w14:textId="77777777" w:rsidR="00AE16A5" w:rsidRDefault="00AE16A5">
      <w:r>
        <w:br w:type="page"/>
      </w:r>
    </w:p>
    <w:tbl>
      <w:tblPr>
        <w:tblW w:w="13185" w:type="dxa"/>
        <w:tblInd w:w="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5"/>
        <w:gridCol w:w="4395"/>
        <w:gridCol w:w="5475"/>
        <w:gridCol w:w="2430"/>
      </w:tblGrid>
      <w:tr w:rsidR="00856AAC" w14:paraId="40D62077" w14:textId="77777777">
        <w:tc>
          <w:tcPr>
            <w:tcW w:w="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A28F1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1951F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3D: Instructor communicates with students in a timely manner.</w:t>
            </w:r>
          </w:p>
        </w:tc>
        <w:tc>
          <w:tcPr>
            <w:tcW w:w="54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28B92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3D:</w:t>
            </w:r>
          </w:p>
          <w:p w14:paraId="1F913A8E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Challenge yourself to meet or exceed the feedback timing expectations that you have set for the class.</w:t>
            </w:r>
          </w:p>
          <w:p w14:paraId="21801D4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Take sanity breaks, but always let students know when they can expect to hear from you.</w:t>
            </w:r>
          </w:p>
          <w:p w14:paraId="4AEED48D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3) Intelligent agents (in D2L) can be effective ways of providing timely feedback on quizzes,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dropbox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assignments, etc.</w:t>
            </w:r>
          </w:p>
          <w:p w14:paraId="475CF6D2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5A8B6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33B18C91" w14:textId="77777777">
        <w:tc>
          <w:tcPr>
            <w:tcW w:w="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8409B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3702B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3E: Instructor has created multiple opportunities for student-to-student interactions.</w:t>
            </w:r>
          </w:p>
        </w:tc>
        <w:tc>
          <w:tcPr>
            <w:tcW w:w="54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3173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3E: Through various online communication tools, require or encourage students to interact with others on a regular basis. Possible tools include:</w:t>
            </w:r>
          </w:p>
          <w:p w14:paraId="138D3FB1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discussion boards</w:t>
            </w:r>
          </w:p>
          <w:p w14:paraId="2CD12612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web conferencing</w:t>
            </w:r>
          </w:p>
          <w:p w14:paraId="6EAE3FED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phone conferencing (or PC)</w:t>
            </w:r>
          </w:p>
          <w:p w14:paraId="2DD75A9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4) personal profile pages</w:t>
            </w:r>
          </w:p>
          <w:p w14:paraId="39BA1CB5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5) email</w:t>
            </w:r>
          </w:p>
          <w:p w14:paraId="33EC0FCA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6) social networking</w:t>
            </w:r>
          </w:p>
          <w:p w14:paraId="02268F87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CEB09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6CAD3A76" w14:textId="77777777">
        <w:tc>
          <w:tcPr>
            <w:tcW w:w="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A6E6B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ACD3F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3F: Students are required to engage in active learning exercises.</w:t>
            </w:r>
          </w:p>
        </w:tc>
        <w:tc>
          <w:tcPr>
            <w:tcW w:w="54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0C394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3F: Some examples include:</w:t>
            </w:r>
          </w:p>
          <w:p w14:paraId="419BC88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Create course activities that take the students away from the computer screen to accomplish certain tasks or achieve goals toward course outcomes.</w:t>
            </w:r>
          </w:p>
          <w:p w14:paraId="1067B823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Where appropriate, have students engage with community or industry members for course-related work.</w:t>
            </w:r>
          </w:p>
          <w:p w14:paraId="760FBDD3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Create assignments that encourage use of the college library, tutoring center, or other support services.</w:t>
            </w:r>
          </w:p>
        </w:tc>
        <w:tc>
          <w:tcPr>
            <w:tcW w:w="24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240CF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7A275101" w14:textId="77777777">
        <w:trPr>
          <w:trHeight w:val="681"/>
        </w:trPr>
        <w:tc>
          <w:tcPr>
            <w:tcW w:w="13185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8A4F9" w14:textId="77777777" w:rsidR="00856AAC" w:rsidRDefault="003A3C5E">
            <w:pPr>
              <w:pStyle w:val="Quote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Additional comments on Category 3:</w:t>
            </w:r>
          </w:p>
          <w:p w14:paraId="7CCDB1B4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15B9510" w14:textId="77777777" w:rsidR="00856AAC" w:rsidRDefault="00856AAC">
      <w:pPr>
        <w:pStyle w:val="Standard"/>
        <w:rPr>
          <w:rFonts w:ascii="Calibri" w:hAnsi="Calibri"/>
        </w:rPr>
      </w:pPr>
    </w:p>
    <w:p w14:paraId="417270D6" w14:textId="77777777" w:rsidR="00856AAC" w:rsidRDefault="003A3C5E">
      <w:pPr>
        <w:pStyle w:val="Heading1"/>
        <w:rPr>
          <w:rFonts w:ascii="Calibri" w:hAnsi="Calibri"/>
        </w:rPr>
      </w:pPr>
      <w:r>
        <w:rPr>
          <w:rFonts w:ascii="Calibri" w:hAnsi="Calibri"/>
        </w:rPr>
        <w:br/>
      </w:r>
    </w:p>
    <w:p w14:paraId="5E5F9C67" w14:textId="77777777" w:rsidR="00856AAC" w:rsidRDefault="003A3C5E">
      <w:pPr>
        <w:pStyle w:val="Heading1"/>
        <w:pageBreakBefore/>
        <w:rPr>
          <w:rFonts w:ascii="Calibri" w:hAnsi="Calibri"/>
        </w:rPr>
      </w:pPr>
      <w:r>
        <w:rPr>
          <w:rFonts w:ascii="Calibri" w:hAnsi="Calibri"/>
        </w:rPr>
        <w:lastRenderedPageBreak/>
        <w:t>Category 4: Evaluations, Assessments, and Grading</w:t>
      </w:r>
    </w:p>
    <w:tbl>
      <w:tblPr>
        <w:tblW w:w="13200" w:type="dxa"/>
        <w:tblInd w:w="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5"/>
        <w:gridCol w:w="4395"/>
        <w:gridCol w:w="5475"/>
        <w:gridCol w:w="2445"/>
      </w:tblGrid>
      <w:tr w:rsidR="00856AAC" w14:paraId="22CB49EB" w14:textId="77777777">
        <w:tc>
          <w:tcPr>
            <w:tcW w:w="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01362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Grade</w:t>
            </w: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442A9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Expectation</w:t>
            </w:r>
          </w:p>
        </w:tc>
        <w:tc>
          <w:tcPr>
            <w:tcW w:w="54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AE1FBE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Examples of Meeting Expectation</w:t>
            </w:r>
          </w:p>
        </w:tc>
        <w:tc>
          <w:tcPr>
            <w:tcW w:w="2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48767" w14:textId="77777777" w:rsidR="00856AAC" w:rsidRDefault="003A3C5E">
            <w:pPr>
              <w:pStyle w:val="Standard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Evaluator Comments</w:t>
            </w:r>
          </w:p>
        </w:tc>
      </w:tr>
      <w:tr w:rsidR="00856AAC" w14:paraId="56C2725B" w14:textId="77777777">
        <w:tc>
          <w:tcPr>
            <w:tcW w:w="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F8B7E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759C8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4A: Grading policy is easy to locate, easy to understand, and complete.</w:t>
            </w:r>
          </w:p>
        </w:tc>
        <w:tc>
          <w:tcPr>
            <w:tcW w:w="54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C34FC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4A: Instructor’s grading policy:</w:t>
            </w:r>
          </w:p>
          <w:p w14:paraId="1DC96D9B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Should always be available in the course shell in an easy-to-find location.</w:t>
            </w:r>
          </w:p>
          <w:p w14:paraId="537EA6C7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Language used to describe grade determination should be easy to understand.</w:t>
            </w:r>
          </w:p>
          <w:p w14:paraId="3CD10778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3) All components of the policy for determining student grades should </w:t>
            </w:r>
            <w:proofErr w:type="gramStart"/>
            <w:r>
              <w:rPr>
                <w:rFonts w:ascii="Calibri" w:hAnsi="Calibri"/>
                <w:sz w:val="22"/>
                <w:szCs w:val="22"/>
              </w:rPr>
              <w:t>be located in</w:t>
            </w:r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one place.</w:t>
            </w:r>
          </w:p>
          <w:p w14:paraId="3A186501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7AC1B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1B7D0A30" w14:textId="77777777">
        <w:tc>
          <w:tcPr>
            <w:tcW w:w="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9F222" w14:textId="77777777" w:rsidR="00856AAC" w:rsidRDefault="00856AAC">
            <w:pPr>
              <w:pStyle w:val="Standard"/>
              <w:rPr>
                <w:rFonts w:ascii="Calibri" w:hAnsi="Calibri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B03D4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4B: Utilizes multiple assessment methods as required of all college courses.</w:t>
            </w:r>
          </w:p>
        </w:tc>
        <w:tc>
          <w:tcPr>
            <w:tcW w:w="54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EB11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4B: Consider a mixture of various options for graded work, including, but not limited to:</w:t>
            </w:r>
          </w:p>
          <w:p w14:paraId="082B6C83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quizzes or exams, 2) writing assignments</w:t>
            </w:r>
          </w:p>
          <w:p w14:paraId="04EE8BD3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portfolios' 4) lab reports</w:t>
            </w:r>
          </w:p>
          <w:p w14:paraId="4E76D3E6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5) discussion postings</w:t>
            </w:r>
          </w:p>
          <w:p w14:paraId="3FAC0BE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6) event participation and analysis</w:t>
            </w:r>
          </w:p>
          <w:p w14:paraId="46506ABD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7) problem sets, 8) oral presentations</w:t>
            </w:r>
          </w:p>
          <w:p w14:paraId="161BB0C0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9) debates, 10) simulations, 11) case studies</w:t>
            </w:r>
          </w:p>
          <w:p w14:paraId="3F58724B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57818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68A5CB85" w14:textId="77777777">
        <w:tc>
          <w:tcPr>
            <w:tcW w:w="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C8245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E58B3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4C: Utilizes the LMS grade book for students to track their progress through the course.</w:t>
            </w:r>
          </w:p>
          <w:p w14:paraId="673D9761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4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54199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4C: The LMS grade book is essential since it provides a password-protected, one-stop shop for students to view all assigned grades.</w:t>
            </w:r>
          </w:p>
          <w:p w14:paraId="361270DC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07F6F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2775FA29" w14:textId="77777777">
        <w:tc>
          <w:tcPr>
            <w:tcW w:w="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D9372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E45FE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4D: Take appropriate steps to mitigate security, honesty, and/or authentication concerns regarding student assessments.</w:t>
            </w:r>
          </w:p>
        </w:tc>
        <w:tc>
          <w:tcPr>
            <w:tcW w:w="54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00958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4D: Examples might include:</w:t>
            </w:r>
          </w:p>
          <w:p w14:paraId="741380A2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 Proctored exams</w:t>
            </w:r>
          </w:p>
          <w:p w14:paraId="2B3AB6DF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 Timed quizzes/exams</w:t>
            </w:r>
          </w:p>
          <w:p w14:paraId="068651C5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 Lock-down browser</w:t>
            </w:r>
          </w:p>
          <w:p w14:paraId="69FBB45A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4) Document submission via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dropbox</w:t>
            </w:r>
            <w:proofErr w:type="spellEnd"/>
          </w:p>
          <w:p w14:paraId="7842CCF7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5) Plagiarism detection</w:t>
            </w:r>
          </w:p>
          <w:p w14:paraId="35BE0BA1" w14:textId="77777777" w:rsidR="00856AAC" w:rsidRDefault="003A3C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6) Original writing assignments each term</w:t>
            </w:r>
            <w:r>
              <w:rPr>
                <w:rFonts w:ascii="Calibri" w:hAnsi="Calibri"/>
                <w:sz w:val="22"/>
                <w:szCs w:val="22"/>
              </w:rPr>
              <w:br/>
            </w:r>
          </w:p>
        </w:tc>
        <w:tc>
          <w:tcPr>
            <w:tcW w:w="2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0E88B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  <w:tr w:rsidR="00856AAC" w14:paraId="7D04359E" w14:textId="77777777">
        <w:tc>
          <w:tcPr>
            <w:tcW w:w="13200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AAC51" w14:textId="77777777" w:rsidR="00856AAC" w:rsidRDefault="003A3C5E">
            <w:pPr>
              <w:pStyle w:val="Quote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Additional comments on Category 4:</w:t>
            </w:r>
          </w:p>
          <w:p w14:paraId="58818CD2" w14:textId="77777777" w:rsidR="00856AAC" w:rsidRDefault="00856AAC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2589ECBB" w14:textId="77777777" w:rsidR="00856AAC" w:rsidRDefault="00856AAC">
      <w:pPr>
        <w:pStyle w:val="Heading1"/>
        <w:rPr>
          <w:rFonts w:ascii="Calibri" w:hAnsi="Calibri"/>
        </w:rPr>
      </w:pPr>
    </w:p>
    <w:p w14:paraId="374B7F00" w14:textId="77777777" w:rsidR="00856AAC" w:rsidRDefault="003A3C5E">
      <w:pPr>
        <w:pStyle w:val="Heading1"/>
        <w:rPr>
          <w:rFonts w:ascii="Calibri" w:hAnsi="Calibri"/>
        </w:rPr>
      </w:pPr>
      <w:r>
        <w:rPr>
          <w:rFonts w:ascii="Calibri" w:hAnsi="Calibri"/>
        </w:rPr>
        <w:t>Category 5: Other Faculty Expectations:</w:t>
      </w:r>
    </w:p>
    <w:p w14:paraId="6653FE43" w14:textId="77777777" w:rsidR="00856AAC" w:rsidRDefault="003A3C5E">
      <w:pPr>
        <w:pStyle w:val="Standard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Customize this section as needed based on your institution’s additional expectations of faculty work.</w:t>
      </w:r>
    </w:p>
    <w:tbl>
      <w:tblPr>
        <w:tblW w:w="13215" w:type="dxa"/>
        <w:tblInd w:w="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215"/>
      </w:tblGrid>
      <w:tr w:rsidR="00856AAC" w14:paraId="3613A89B" w14:textId="77777777">
        <w:tc>
          <w:tcPr>
            <w:tcW w:w="13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E3352" w14:textId="77777777" w:rsidR="00856AAC" w:rsidRDefault="003A3C5E">
            <w:pPr>
              <w:pStyle w:val="Standard"/>
              <w:ind w:left="36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5A:  Research Completed or in Progress</w:t>
            </w:r>
          </w:p>
        </w:tc>
      </w:tr>
      <w:tr w:rsidR="00856AAC" w14:paraId="16841996" w14:textId="77777777">
        <w:tc>
          <w:tcPr>
            <w:tcW w:w="13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817A7" w14:textId="77777777" w:rsidR="00856AAC" w:rsidRDefault="003A3C5E">
            <w:pPr>
              <w:pStyle w:val="Quote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Comments:</w:t>
            </w:r>
          </w:p>
          <w:p w14:paraId="21F0373D" w14:textId="77777777" w:rsidR="00856AAC" w:rsidRDefault="00856AAC">
            <w:pPr>
              <w:pStyle w:val="Standard"/>
              <w:rPr>
                <w:rFonts w:ascii="Calibri" w:hAnsi="Calibri"/>
                <w:b/>
                <w:sz w:val="22"/>
                <w:szCs w:val="22"/>
              </w:rPr>
            </w:pPr>
          </w:p>
          <w:p w14:paraId="1783E346" w14:textId="77777777" w:rsidR="00856AAC" w:rsidRDefault="00856AAC">
            <w:pPr>
              <w:pStyle w:val="Standard"/>
              <w:rPr>
                <w:rFonts w:ascii="Calibri" w:hAnsi="Calibri"/>
                <w:b/>
                <w:sz w:val="22"/>
                <w:szCs w:val="22"/>
              </w:rPr>
            </w:pPr>
          </w:p>
          <w:p w14:paraId="39B2AC2D" w14:textId="77777777" w:rsidR="00856AAC" w:rsidRDefault="00856AAC">
            <w:pPr>
              <w:pStyle w:val="Standard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856AAC" w14:paraId="0A0D9EB1" w14:textId="77777777">
        <w:tc>
          <w:tcPr>
            <w:tcW w:w="13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63DCC" w14:textId="77777777" w:rsidR="00856AAC" w:rsidRDefault="003A3C5E">
            <w:pPr>
              <w:pStyle w:val="Standard"/>
              <w:ind w:left="36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5B:  Committee work or campus involvement</w:t>
            </w:r>
          </w:p>
        </w:tc>
      </w:tr>
      <w:tr w:rsidR="00856AAC" w14:paraId="596947E1" w14:textId="77777777">
        <w:tc>
          <w:tcPr>
            <w:tcW w:w="13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DAF23" w14:textId="77777777" w:rsidR="00856AAC" w:rsidRDefault="003A3C5E">
            <w:pPr>
              <w:pStyle w:val="Quote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Comments:</w:t>
            </w:r>
          </w:p>
          <w:p w14:paraId="2184AC75" w14:textId="77777777" w:rsidR="00856AAC" w:rsidRDefault="00856AAC">
            <w:pPr>
              <w:pStyle w:val="Standard"/>
              <w:rPr>
                <w:rFonts w:ascii="Calibri" w:hAnsi="Calibri"/>
                <w:b/>
                <w:sz w:val="22"/>
                <w:szCs w:val="22"/>
              </w:rPr>
            </w:pPr>
          </w:p>
          <w:p w14:paraId="79D8B6B4" w14:textId="77777777" w:rsidR="00856AAC" w:rsidRDefault="00856AAC">
            <w:pPr>
              <w:pStyle w:val="Standard"/>
              <w:rPr>
                <w:rFonts w:ascii="Calibri" w:hAnsi="Calibri"/>
                <w:b/>
                <w:sz w:val="22"/>
                <w:szCs w:val="22"/>
              </w:rPr>
            </w:pPr>
          </w:p>
          <w:p w14:paraId="09E60C0F" w14:textId="77777777" w:rsidR="00856AAC" w:rsidRDefault="00856AAC">
            <w:pPr>
              <w:pStyle w:val="Standard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856AAC" w14:paraId="4EC09C3C" w14:textId="77777777">
        <w:tc>
          <w:tcPr>
            <w:tcW w:w="13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777ED" w14:textId="77777777" w:rsidR="00856AAC" w:rsidRDefault="003A3C5E">
            <w:pPr>
              <w:pStyle w:val="Standard"/>
              <w:ind w:left="36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5C:  Community service</w:t>
            </w:r>
          </w:p>
        </w:tc>
      </w:tr>
      <w:tr w:rsidR="00856AAC" w14:paraId="0AAD4B14" w14:textId="77777777">
        <w:trPr>
          <w:trHeight w:val="583"/>
        </w:trPr>
        <w:tc>
          <w:tcPr>
            <w:tcW w:w="132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67B2B" w14:textId="77777777" w:rsidR="00856AAC" w:rsidRDefault="003A3C5E">
            <w:pPr>
              <w:pStyle w:val="Quote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Comments:</w:t>
            </w:r>
          </w:p>
          <w:p w14:paraId="1B200481" w14:textId="77777777" w:rsidR="00856AAC" w:rsidRDefault="00856AAC">
            <w:pPr>
              <w:pStyle w:val="Quote"/>
              <w:rPr>
                <w:rFonts w:ascii="Calibri" w:hAnsi="Calibri"/>
                <w:b/>
                <w:sz w:val="22"/>
                <w:szCs w:val="22"/>
              </w:rPr>
            </w:pPr>
          </w:p>
          <w:p w14:paraId="36598136" w14:textId="77777777" w:rsidR="00856AAC" w:rsidRDefault="00856AAC">
            <w:pPr>
              <w:pStyle w:val="Quote"/>
              <w:rPr>
                <w:rFonts w:ascii="Calibri" w:hAnsi="Calibri"/>
                <w:b/>
                <w:sz w:val="22"/>
                <w:szCs w:val="22"/>
              </w:rPr>
            </w:pPr>
          </w:p>
          <w:p w14:paraId="22BEBEE0" w14:textId="77777777" w:rsidR="00856AAC" w:rsidRDefault="00856AAC">
            <w:pPr>
              <w:pStyle w:val="Quote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856AAC" w14:paraId="0DA081B7" w14:textId="77777777">
        <w:tc>
          <w:tcPr>
            <w:tcW w:w="13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5FE7B" w14:textId="77777777" w:rsidR="00856AAC" w:rsidRDefault="003A3C5E">
            <w:pPr>
              <w:pStyle w:val="Standard"/>
              <w:ind w:left="36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5D:  Service to students (non-teaching)</w:t>
            </w:r>
          </w:p>
        </w:tc>
      </w:tr>
      <w:tr w:rsidR="00856AAC" w14:paraId="6C6F9E0E" w14:textId="77777777">
        <w:tc>
          <w:tcPr>
            <w:tcW w:w="132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CF277" w14:textId="77777777" w:rsidR="00856AAC" w:rsidRDefault="003A3C5E">
            <w:pPr>
              <w:pStyle w:val="Quote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Comments:</w:t>
            </w:r>
          </w:p>
          <w:p w14:paraId="5D0EA6C8" w14:textId="77777777" w:rsidR="00856AAC" w:rsidRDefault="00856AAC">
            <w:pPr>
              <w:pStyle w:val="Standard"/>
              <w:rPr>
                <w:rFonts w:ascii="Calibri" w:hAnsi="Calibri"/>
                <w:b/>
                <w:sz w:val="22"/>
                <w:szCs w:val="22"/>
              </w:rPr>
            </w:pPr>
          </w:p>
          <w:p w14:paraId="1621218C" w14:textId="77777777" w:rsidR="00856AAC" w:rsidRDefault="00856AAC">
            <w:pPr>
              <w:pStyle w:val="Standard"/>
              <w:rPr>
                <w:rFonts w:ascii="Calibri" w:hAnsi="Calibri"/>
                <w:b/>
                <w:sz w:val="22"/>
                <w:szCs w:val="22"/>
              </w:rPr>
            </w:pPr>
          </w:p>
          <w:p w14:paraId="1010B800" w14:textId="77777777" w:rsidR="00856AAC" w:rsidRDefault="00856AAC">
            <w:pPr>
              <w:pStyle w:val="Standard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14:paraId="110F78EC" w14:textId="77777777" w:rsidR="00856AAC" w:rsidRDefault="00856AAC">
      <w:pPr>
        <w:pStyle w:val="Standard"/>
        <w:rPr>
          <w:rFonts w:ascii="Calibri" w:hAnsi="Calibri"/>
        </w:rPr>
      </w:pPr>
    </w:p>
    <w:p w14:paraId="199EB6B3" w14:textId="77777777" w:rsidR="00856AAC" w:rsidRDefault="00856AAC">
      <w:pPr>
        <w:pStyle w:val="Standard"/>
        <w:rPr>
          <w:rFonts w:ascii="Calibri" w:hAnsi="Calibri"/>
          <w:b/>
          <w:sz w:val="44"/>
        </w:rPr>
      </w:pPr>
    </w:p>
    <w:sectPr w:rsidR="00856AAC">
      <w:headerReference w:type="default" r:id="rId7"/>
      <w:footerReference w:type="default" r:id="rId8"/>
      <w:pgSz w:w="15840" w:h="12240" w:orient="landscape"/>
      <w:pgMar w:top="1170" w:right="1350" w:bottom="1440" w:left="12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6698EB" w14:textId="77777777" w:rsidR="003A3C5E" w:rsidRDefault="003A3C5E">
      <w:r>
        <w:separator/>
      </w:r>
    </w:p>
  </w:endnote>
  <w:endnote w:type="continuationSeparator" w:id="0">
    <w:p w14:paraId="7C1E7690" w14:textId="77777777" w:rsidR="003A3C5E" w:rsidRDefault="003A3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98A66C" w14:textId="77777777" w:rsidR="002D2E51" w:rsidRDefault="003A3C5E">
    <w:pPr>
      <w:pStyle w:val="Footer"/>
      <w:rPr>
        <w:rFonts w:ascii="Calibri" w:hAnsi="Calibri"/>
        <w:sz w:val="22"/>
        <w:szCs w:val="22"/>
      </w:rPr>
    </w:pPr>
    <w:r>
      <w:rPr>
        <w:rFonts w:ascii="Calibri" w:hAnsi="Calibri"/>
        <w:sz w:val="22"/>
        <w:szCs w:val="22"/>
      </w:rPr>
      <w:t>Creative Commons BY-NC-SA 3.0</w:t>
    </w:r>
    <w:r>
      <w:rPr>
        <w:rFonts w:ascii="Calibri" w:hAnsi="Calibri"/>
        <w:sz w:val="22"/>
        <w:szCs w:val="22"/>
      </w:rPr>
      <w:tab/>
      <w:t xml:space="preserve">                           </w:t>
    </w:r>
    <w:r>
      <w:rPr>
        <w:rFonts w:ascii="Calibri" w:hAnsi="Calibri"/>
        <w:sz w:val="22"/>
        <w:szCs w:val="22"/>
      </w:rPr>
      <w:tab/>
      <w:t>February 201</w:t>
    </w:r>
    <w:r w:rsidR="00B35EB6">
      <w:rPr>
        <w:rFonts w:ascii="Calibri" w:hAnsi="Calibri"/>
        <w:sz w:val="22"/>
        <w:szCs w:val="22"/>
      </w:rPr>
      <w:t>8</w:t>
    </w:r>
    <w:r>
      <w:rPr>
        <w:rFonts w:ascii="Calibri" w:hAnsi="Calibri"/>
        <w:sz w:val="22"/>
        <w:szCs w:val="22"/>
      </w:rPr>
      <w:t xml:space="preserve"> (Version </w:t>
    </w:r>
    <w:r w:rsidR="00B35EB6">
      <w:rPr>
        <w:rFonts w:ascii="Calibri" w:hAnsi="Calibri"/>
        <w:sz w:val="22"/>
        <w:szCs w:val="22"/>
      </w:rPr>
      <w:t>3</w:t>
    </w:r>
    <w:r>
      <w:rPr>
        <w:rFonts w:ascii="Calibri" w:hAnsi="Calibri"/>
        <w:sz w:val="22"/>
        <w:szCs w:val="22"/>
      </w:rPr>
      <w:t xml:space="preserve">)                                            Barry Dahl, </w:t>
    </w:r>
    <w:r w:rsidR="00B35EB6">
      <w:rPr>
        <w:rFonts w:ascii="Calibri" w:hAnsi="Calibri"/>
        <w:sz w:val="22"/>
        <w:szCs w:val="22"/>
      </w:rPr>
      <w:t>author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D3B702" w14:textId="77777777" w:rsidR="003A3C5E" w:rsidRDefault="003A3C5E">
      <w:r>
        <w:rPr>
          <w:color w:val="000000"/>
        </w:rPr>
        <w:separator/>
      </w:r>
    </w:p>
  </w:footnote>
  <w:footnote w:type="continuationSeparator" w:id="0">
    <w:p w14:paraId="1BA31E3B" w14:textId="77777777" w:rsidR="003A3C5E" w:rsidRDefault="003A3C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E7E3AF" w14:textId="77777777" w:rsidR="002D2E51" w:rsidRDefault="003A3C5E">
    <w:pPr>
      <w:pStyle w:val="Header"/>
    </w:pPr>
    <w:r>
      <w:rPr>
        <w:rFonts w:ascii="Calibri" w:hAnsi="Calibri"/>
        <w:sz w:val="22"/>
        <w:szCs w:val="22"/>
      </w:rPr>
      <w:t>Online Faculty Evaluation Rubric</w:t>
    </w:r>
    <w:r>
      <w:rPr>
        <w:rFonts w:ascii="Calibri" w:hAnsi="Calibri"/>
        <w:sz w:val="22"/>
        <w:szCs w:val="22"/>
      </w:rPr>
      <w:tab/>
    </w:r>
    <w:r>
      <w:rPr>
        <w:rFonts w:ascii="Calibri" w:hAnsi="Calibri"/>
        <w:sz w:val="22"/>
        <w:szCs w:val="22"/>
      </w:rPr>
      <w:tab/>
    </w:r>
    <w:r>
      <w:rPr>
        <w:rFonts w:ascii="Calibri" w:hAnsi="Calibri"/>
        <w:sz w:val="22"/>
        <w:szCs w:val="22"/>
      </w:rPr>
      <w:tab/>
    </w:r>
    <w:r>
      <w:rPr>
        <w:rFonts w:ascii="Calibri" w:hAnsi="Calibri"/>
        <w:sz w:val="22"/>
        <w:szCs w:val="22"/>
      </w:rPr>
      <w:tab/>
    </w:r>
    <w:r>
      <w:rPr>
        <w:rFonts w:ascii="Calibri" w:hAnsi="Calibri"/>
        <w:sz w:val="22"/>
        <w:szCs w:val="22"/>
      </w:rPr>
      <w:tab/>
      <w:t xml:space="preserve">Page </w:t>
    </w:r>
    <w:r>
      <w:rPr>
        <w:rFonts w:ascii="Calibri" w:hAnsi="Calibri"/>
        <w:sz w:val="22"/>
        <w:szCs w:val="22"/>
      </w:rPr>
      <w:fldChar w:fldCharType="begin"/>
    </w:r>
    <w:r>
      <w:rPr>
        <w:rFonts w:ascii="Calibri" w:hAnsi="Calibri"/>
        <w:sz w:val="22"/>
        <w:szCs w:val="22"/>
      </w:rPr>
      <w:instrText xml:space="preserve"> PAGE </w:instrText>
    </w:r>
    <w:r>
      <w:rPr>
        <w:rFonts w:ascii="Calibri" w:hAnsi="Calibri"/>
        <w:sz w:val="22"/>
        <w:szCs w:val="22"/>
      </w:rPr>
      <w:fldChar w:fldCharType="separate"/>
    </w:r>
    <w:r w:rsidR="0045789E">
      <w:rPr>
        <w:rFonts w:ascii="Calibri" w:hAnsi="Calibri"/>
        <w:noProof/>
        <w:sz w:val="22"/>
        <w:szCs w:val="22"/>
      </w:rPr>
      <w:t>2</w:t>
    </w:r>
    <w:r>
      <w:rPr>
        <w:rFonts w:ascii="Calibri" w:hAnsi="Calibri"/>
        <w:sz w:val="22"/>
        <w:szCs w:val="22"/>
      </w:rPr>
      <w:fldChar w:fldCharType="end"/>
    </w:r>
    <w:r>
      <w:rPr>
        <w:rFonts w:ascii="Calibri" w:hAnsi="Calibri"/>
        <w:sz w:val="22"/>
        <w:szCs w:val="22"/>
      </w:rPr>
      <w:t xml:space="preserve"> of </w:t>
    </w:r>
    <w:r>
      <w:rPr>
        <w:rFonts w:ascii="Calibri" w:hAnsi="Calibri"/>
        <w:sz w:val="22"/>
        <w:szCs w:val="22"/>
      </w:rPr>
      <w:fldChar w:fldCharType="begin"/>
    </w:r>
    <w:r>
      <w:rPr>
        <w:rFonts w:ascii="Calibri" w:hAnsi="Calibri"/>
        <w:sz w:val="22"/>
        <w:szCs w:val="22"/>
      </w:rPr>
      <w:instrText xml:space="preserve"> NUMPAGES </w:instrText>
    </w:r>
    <w:r>
      <w:rPr>
        <w:rFonts w:ascii="Calibri" w:hAnsi="Calibri"/>
        <w:sz w:val="22"/>
        <w:szCs w:val="22"/>
      </w:rPr>
      <w:fldChar w:fldCharType="separate"/>
    </w:r>
    <w:r w:rsidR="0045789E">
      <w:rPr>
        <w:rFonts w:ascii="Calibri" w:hAnsi="Calibri"/>
        <w:noProof/>
        <w:sz w:val="22"/>
        <w:szCs w:val="22"/>
      </w:rPr>
      <w:t>8</w:t>
    </w:r>
    <w:r>
      <w:rPr>
        <w:rFonts w:ascii="Calibri" w:hAnsi="Calibri"/>
        <w:sz w:val="22"/>
        <w:szCs w:val="22"/>
      </w:rPr>
      <w:fldChar w:fldCharType="end"/>
    </w:r>
    <w:r>
      <w:rPr>
        <w:rFonts w:ascii="Calibri" w:hAnsi="Calibri"/>
        <w:sz w:val="22"/>
        <w:szCs w:val="22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D6366C"/>
    <w:multiLevelType w:val="multilevel"/>
    <w:tmpl w:val="2670239C"/>
    <w:styleLink w:val="WWNum2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63F86E29"/>
    <w:multiLevelType w:val="multilevel"/>
    <w:tmpl w:val="DD3E101E"/>
    <w:styleLink w:val="WWNum1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AAC"/>
    <w:rsid w:val="00244E2D"/>
    <w:rsid w:val="003A3C5E"/>
    <w:rsid w:val="0045789E"/>
    <w:rsid w:val="00856AAC"/>
    <w:rsid w:val="008933CC"/>
    <w:rsid w:val="00AE16A5"/>
    <w:rsid w:val="00B3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C8C0B"/>
  <w15:docId w15:val="{80A8E5E1-F810-46EC-99B6-A104E77F7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</w:style>
  <w:style w:type="paragraph" w:styleId="Heading1">
    <w:name w:val="heading 1"/>
    <w:basedOn w:val="Standard"/>
    <w:next w:val="Textbody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itle">
    <w:name w:val="Title"/>
    <w:basedOn w:val="Standard"/>
    <w:next w:val="Subtitle"/>
    <w:pPr>
      <w:pBdr>
        <w:bottom w:val="single" w:sz="8" w:space="4" w:color="4F81BD"/>
      </w:pBdr>
      <w:spacing w:after="300"/>
      <w:jc w:val="center"/>
    </w:pPr>
    <w:rPr>
      <w:rFonts w:ascii="Cambria" w:hAnsi="Cambria"/>
      <w:b/>
      <w:bCs/>
      <w:color w:val="17365D"/>
      <w:spacing w:val="5"/>
      <w:sz w:val="52"/>
      <w:szCs w:val="52"/>
    </w:rPr>
  </w:style>
  <w:style w:type="paragraph" w:styleId="Subtitle">
    <w:name w:val="Subtitle"/>
    <w:basedOn w:val="Heading"/>
    <w:next w:val="Textbody"/>
    <w:pPr>
      <w:jc w:val="center"/>
    </w:pPr>
    <w:rPr>
      <w:i/>
      <w:iCs/>
    </w:rPr>
  </w:style>
  <w:style w:type="paragraph" w:styleId="ListParagraph">
    <w:name w:val="List Paragraph"/>
    <w:basedOn w:val="Standard"/>
    <w:pPr>
      <w:ind w:left="720"/>
    </w:pPr>
  </w:style>
  <w:style w:type="paragraph" w:styleId="Quote">
    <w:name w:val="Quote"/>
    <w:basedOn w:val="Standard"/>
    <w:rPr>
      <w:i/>
      <w:iCs/>
      <w:color w:val="000000"/>
    </w:rPr>
  </w:style>
  <w:style w:type="paragraph" w:styleId="BalloonText">
    <w:name w:val="Balloon Text"/>
    <w:basedOn w:val="Standard"/>
    <w:rPr>
      <w:rFonts w:ascii="Tahoma" w:hAnsi="Tahoma" w:cs="Tahoma"/>
      <w:sz w:val="16"/>
      <w:szCs w:val="16"/>
    </w:rPr>
  </w:style>
  <w:style w:type="paragraph" w:styleId="Header">
    <w:name w:val="header"/>
    <w:basedOn w:val="Standard"/>
    <w:pPr>
      <w:suppressLineNumbers/>
      <w:tabs>
        <w:tab w:val="center" w:pos="4680"/>
        <w:tab w:val="right" w:pos="9360"/>
      </w:tabs>
    </w:pPr>
  </w:style>
  <w:style w:type="paragraph" w:styleId="Footer">
    <w:name w:val="footer"/>
    <w:basedOn w:val="Standard"/>
    <w:pPr>
      <w:suppressLineNumbers/>
      <w:tabs>
        <w:tab w:val="center" w:pos="4680"/>
        <w:tab w:val="right" w:pos="9360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rPr>
      <w:rFonts w:ascii="Cambria" w:hAnsi="Cambria"/>
      <w:color w:val="17365D"/>
      <w:spacing w:val="5"/>
      <w:kern w:val="3"/>
      <w:sz w:val="52"/>
      <w:szCs w:val="52"/>
    </w:rPr>
  </w:style>
  <w:style w:type="character" w:customStyle="1" w:styleId="Heading1Char">
    <w:name w:val="Heading 1 Char"/>
    <w:basedOn w:val="DefaultParagraphFont"/>
    <w:rPr>
      <w:rFonts w:ascii="Cambria" w:hAnsi="Cambria"/>
      <w:b/>
      <w:bCs/>
      <w:color w:val="365F91"/>
      <w:sz w:val="28"/>
      <w:szCs w:val="28"/>
    </w:rPr>
  </w:style>
  <w:style w:type="character" w:customStyle="1" w:styleId="QuoteChar">
    <w:name w:val="Quote Char"/>
    <w:basedOn w:val="DefaultParagraphFont"/>
    <w:rPr>
      <w:i/>
      <w:iCs/>
      <w:color w:val="000000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ListLabel1">
    <w:name w:val="ListLabel 1"/>
    <w:rPr>
      <w:rFonts w:cs="Courier New"/>
    </w:rPr>
  </w:style>
  <w:style w:type="character" w:customStyle="1" w:styleId="NumberingSymbols">
    <w:name w:val="Numbering Symbols"/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1435</Words>
  <Characters>8184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Barry</dc:creator>
  <cp:lastModifiedBy>Barry Dahl</cp:lastModifiedBy>
  <cp:revision>2</cp:revision>
  <cp:lastPrinted>2018-02-12T16:51:00Z</cp:lastPrinted>
  <dcterms:created xsi:type="dcterms:W3CDTF">2023-01-23T15:36:00Z</dcterms:created>
  <dcterms:modified xsi:type="dcterms:W3CDTF">2023-01-23T15:36:00Z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